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Предложения к системе мероприятий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 xml:space="preserve">программы развития правовой грамотности и правосознания граждан Ульяновской области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Министерства агропромышленного комплекса и развития сельских территорий Ульяновской области</w:t>
        <w:br/>
        <w:t xml:space="preserve">по развитию правовой грамотности и правосознания граждан Ульяновской области на 2021-2025 годы </w:t>
      </w:r>
    </w:p>
    <w:tbl>
      <w:tblPr>
        <w:tblW w:w="1452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"/>
        <w:gridCol w:w="8731"/>
        <w:gridCol w:w="2715"/>
        <w:gridCol w:w="2504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№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п/п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Исполнитель (исполнители мероприятия)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 Мероприятия, направленные на повышение уровня правовой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</w:t>
              <w:br/>
              <w:t>и их представителям, исключающих любые формы национального и религиозного экстремизма либо поведения, посягающего</w:t>
              <w:br/>
              <w:t>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Ульяновской области, повышение уровня правосознания (юридической грамотности) государственных гражданских служащих Ульяновской области и муниципальных служащих в Ульяновской области)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Размещение на официальн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ом сайте Министерства агропромышленного комплекса и развития сельских территорий Ульяновской области (далее - Министерство)</w:t>
              <w:br/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информационно-телекоммуникационной сети Интернет (далее - сеть Интернет) информации по разъяснению законодательства Российской Федерации, законодательства Ульяновской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В течение срока реализации Программы </w:t>
            </w:r>
            <w:r>
              <w:rPr>
                <w:rFonts w:ascii="PT Astra Serif" w:hAnsi="PT Astra Serif"/>
                <w:b w:val="false"/>
                <w:bCs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развития правовой грамотности</w:t>
              <w:br/>
              <w:t>и правосознания граждан в Ульяновской области (далее - Программа)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и проведение в Ульяновской области Декады правового просвещения населения Ульяновской области, приуроченной к Международному дню прав человека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Ежегодно. 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и проведение в Ульяновской области просветительских мероприятий, приуроченных к Международному дню борьбы с коррупцией (9 декабря): Единый день при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ё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ма граждан по вопросам противодействия коррупции, «прямые телефонные линии» по вопросам разъяснения законодательства о противодействии коррупции и другие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Ежегодно. 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Консультирование заявителей по вопросам предоставления государственных  услуг в рамках соглашений о взаимодействии с территориальными органами федеральных органов исполнительной власти,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представителями указанных органов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1.5.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Проведение семинаров, лекций, акций, конференций, «круглых столов», конкурсных и иных подобных мероприятий, направленных на повышение уровня правовой грамотности и правосознания граждан в Ульяновской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1.6.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Проведение дней открытых дверей в Министерстве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1.7.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и проведение мероприятий, приуроченных ко Всемирному дню прав потребителей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Ежегодно. 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1.8.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Участие в организации и проведении Всероссийского (правового) юридического диктанта на территории Ульяновской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Ежегодно. 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Информирование населения Ульяновской области о реализации Программы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Ежеквартально.</w:t>
              <w:br/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Выступление представителей Министерства в средствах массовой информации, выходящих в свет (в эфир) на территории Ульяновской области, по вопросам, входящим в компетенцию Министерства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Ежеквартально.</w:t>
              <w:br/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Пресс-служба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Изготовление и распространение среди населения Ульяновской области информационных материалов, в том числе посредством размещения таких материалов в сети Интернет, средствах массовой информации, выходящих в свет</w:t>
              <w:br/>
              <w:t>(в эфир) на территории Ульяновской области, по правовому информированию</w:t>
              <w:br/>
              <w:t xml:space="preserve">и правовому просвещению в рамках установленных сфер деятельности Министерства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Участие представителей Министерства на каналах организаций телерадиовещания трансляции и иных теле- и радиопрограмм передач (программ) правовой тематики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</w:rPr>
              <w:t xml:space="preserve">;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Пресс-служба Министерства</w:t>
            </w:r>
          </w:p>
        </w:tc>
      </w:tr>
      <w:tr>
        <w:trPr/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 Развитие и совершенствование системы оказания бесплатной юридической помощи на территории Ульяновской области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Информирование населения Ульяновской области о возможности и порядке получения бесплатной юридической помощи, а также оказывающих</w:t>
              <w:br/>
              <w:t>е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ё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организациях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и проведение «прямых телефонных линий» с населением Ульяновской области по правовым вопросам в рамках установленных сферах деятельности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Консультирование граждан, индивидуальных предпринимателей и представителей организаций (сельскохозяйственных производителей), в том числе посредством информационно-телекоммуникационной связи «Интернет» по вопросам оказания государственной поддержки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и проведение на территории Ульяновской области Единых дней оказания бесплатной юридической помощи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3.5.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Размещение в местах, доступных для граждан, в средствах массовой информации, выходящих в свет (в эфир) на территории Ульяновской области, на официальн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ом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сайте Министерства в сети Интернет, доведение до граждан иными способами информацию, указанную в </w:t>
            </w:r>
            <w:hyperlink r:id="rId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части 1 статьи 28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Федерального закона от 21.11.2011</w:t>
              <w:br/>
              <w:t>№ 324-ФЗ «О бесплатной юридической помощи в Российской Федерации»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1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 Мероприятия организационного и методического характера, направленные на повышение эффективности реализуемых в Ульяновской области мер по повышению уровня правовой грамотности и правосознания, в том числе совершенствование законодательства Ульяновской области в указанной сфере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Выявление проблем в сфере развития правовой грамотности и правосознания граждан в Ульяновской области и выработка предложений о внесении изменений в законодательство Российской Федерации и законодательства Ульяновской области, необходимых для решения указанных проблем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Разработка, утверждение и реализация планов (программ) развития правовой грамотности и правосознания граждан в рамках установленных сфер деятельности (полномочий) Министерства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 2025 года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3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Привлечение к участию в реализации Программы, планов развития правовой грамотности и правосознания граждан в рамках установленных сфер деятельности (полномочий) Министерства выходящих в свет на территории Ульяновской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Определение государственных гражданских служащих Ульяновской области, ответственных за организацию работы по развитию правовой грамотности</w:t>
              <w:br/>
              <w:t>и правосознания граждан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2021 год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5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обучения государственных гражданских служащих в целях приобретения ими знаний и умений и формирования профессиональных компетенций в области организации деятельности, направленной на развитие правовой грамотности и правосознания граждан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2023 год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  <w:r>
              <w:rPr>
                <w:rFonts w:eastAsia="Calibri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6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Осуществление мониторинга законодательства Российской Федерации</w:t>
              <w:br/>
              <w:t>и законодательства Ульяновской области в сфере агропромышленного комплекса и развития сельского хозяйства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течение срока реализации Программы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Должностные лица Министерства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</w:r>
      <w:bookmarkStart w:id="0" w:name="Par727"/>
      <w:bookmarkStart w:id="1" w:name="Par727"/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  <w:bookmarkStart w:id="2" w:name="Par7271"/>
      <w:bookmarkStart w:id="3" w:name="Par7271"/>
      <w:bookmarkEnd w:id="3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u w:val="none"/>
        </w:rPr>
        <w:t>_________________________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header="709" w:top="1535" w:footer="0" w:bottom="56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sz w:val="26"/>
        <w:szCs w:val="26"/>
      </w:rPr>
      <w:fldChar w:fldCharType="begin"/>
    </w:r>
    <w:r>
      <w:rPr>
        <w:sz w:val="26"/>
        <w:szCs w:val="26"/>
        <w:rFonts w:ascii="PT Astra Serif" w:hAnsi="PT Astra Serif"/>
      </w:rPr>
      <w:instrText> PAGE </w:instrText>
    </w:r>
    <w:r>
      <w:rPr>
        <w:sz w:val="26"/>
        <w:szCs w:val="26"/>
        <w:rFonts w:ascii="PT Astra Serif" w:hAnsi="PT Astra Serif"/>
      </w:rPr>
      <w:fldChar w:fldCharType="separate"/>
    </w:r>
    <w:r>
      <w:rPr>
        <w:sz w:val="26"/>
        <w:szCs w:val="26"/>
        <w:rFonts w:ascii="PT Astra Serif" w:hAnsi="PT Astra Serif"/>
      </w:rPr>
      <w:t>4</w:t>
    </w:r>
    <w:r>
      <w:rPr>
        <w:sz w:val="26"/>
        <w:szCs w:val="26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</w:rPr>
  </w:style>
  <w:style w:type="character" w:styleId="1">
    <w:name w:val="Основной шрифт абзаца1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Текст сноски Знак"/>
    <w:qFormat/>
    <w:rPr>
      <w:sz w:val="18"/>
    </w:rPr>
  </w:style>
  <w:style w:type="character" w:styleId="Style17">
    <w:name w:val="Нижний колонтитул Знак"/>
    <w:qFormat/>
    <w:rPr/>
  </w:style>
  <w:style w:type="character" w:styleId="Style18">
    <w:name w:val="Верхний колонтитул Знак"/>
    <w:qFormat/>
    <w:rPr/>
  </w:style>
  <w:style w:type="character" w:styleId="Style19">
    <w:name w:val="Выделенная цитата Знак"/>
    <w:qFormat/>
    <w:rPr>
      <w:i/>
    </w:rPr>
  </w:style>
  <w:style w:type="character" w:styleId="2">
    <w:name w:val="Цитата 2 Знак"/>
    <w:qFormat/>
    <w:rPr>
      <w:i/>
    </w:rPr>
  </w:style>
  <w:style w:type="character" w:styleId="Style20">
    <w:name w:val="Подзаголовок Знак"/>
    <w:qFormat/>
    <w:rPr>
      <w:sz w:val="24"/>
    </w:rPr>
  </w:style>
  <w:style w:type="character" w:styleId="Style21">
    <w:name w:val="Заголовок Знак"/>
    <w:qFormat/>
    <w:rPr>
      <w:sz w:val="48"/>
    </w:rPr>
  </w:style>
  <w:style w:type="character" w:styleId="9">
    <w:name w:val="Заголовок 9 Знак"/>
    <w:qFormat/>
    <w:rPr>
      <w:rFonts w:ascii="Arial" w:hAnsi="Arial" w:eastAsia="Arial"/>
      <w:i/>
      <w:iCs/>
      <w:sz w:val="21"/>
      <w:szCs w:val="21"/>
    </w:rPr>
  </w:style>
  <w:style w:type="character" w:styleId="8">
    <w:name w:val="Заголовок 8 Знак"/>
    <w:qFormat/>
    <w:rPr>
      <w:rFonts w:ascii="Arial" w:hAnsi="Arial" w:eastAsia="Arial"/>
      <w:i/>
      <w:iCs/>
      <w:sz w:val="22"/>
      <w:szCs w:val="22"/>
    </w:rPr>
  </w:style>
  <w:style w:type="character" w:styleId="7">
    <w:name w:val="Заголовок 7 Знак"/>
    <w:qFormat/>
    <w:rPr>
      <w:rFonts w:ascii="Arial" w:hAnsi="Arial" w:eastAsia="Arial"/>
      <w:b/>
      <w:bCs/>
      <w:i/>
      <w:iCs/>
      <w:sz w:val="22"/>
      <w:szCs w:val="22"/>
    </w:rPr>
  </w:style>
  <w:style w:type="character" w:styleId="6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5">
    <w:name w:val="Заголовок 5 Знак"/>
    <w:qFormat/>
    <w:rPr>
      <w:rFonts w:ascii="Arial" w:hAnsi="Arial" w:eastAsia="Arial"/>
      <w:b/>
      <w:bCs/>
      <w:sz w:val="24"/>
      <w:szCs w:val="24"/>
    </w:rPr>
  </w:style>
  <w:style w:type="character" w:styleId="4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3">
    <w:name w:val="Заголовок 3 Знак"/>
    <w:qFormat/>
    <w:rPr>
      <w:rFonts w:ascii="Arial" w:hAnsi="Arial" w:eastAsia="Arial"/>
      <w:sz w:val="30"/>
      <w:szCs w:val="30"/>
    </w:rPr>
  </w:style>
  <w:style w:type="character" w:styleId="21">
    <w:name w:val="Заголовок 2 Знак"/>
    <w:qFormat/>
    <w:rPr>
      <w:rFonts w:ascii="Arial" w:hAnsi="Arial" w:eastAsia="Arial"/>
      <w:sz w:val="34"/>
    </w:rPr>
  </w:style>
  <w:style w:type="character" w:styleId="11">
    <w:name w:val="Заголовок 1 Знак"/>
    <w:qFormat/>
    <w:rPr>
      <w:rFonts w:ascii="Arial" w:hAnsi="Arial" w:eastAsia="Arial"/>
      <w:sz w:val="40"/>
      <w:szCs w:val="40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3">
    <w:name w:val="Body Text"/>
    <w:basedOn w:val="Normal"/>
    <w:pPr>
      <w:spacing w:before="0" w:after="140"/>
    </w:pPr>
    <w:rPr/>
  </w:style>
  <w:style w:type="paragraph" w:styleId="Style24">
    <w:name w:val="List"/>
    <w:basedOn w:val="Style23"/>
    <w:pPr/>
    <w:rPr>
      <w:rFonts w:ascii="PT Sans" w:hAnsi="PT Sans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8">
    <w:name w:val="Header"/>
    <w:basedOn w:val="Style27"/>
    <w:pPr>
      <w:suppressLineNumbers/>
    </w:pPr>
    <w:rPr/>
  </w:style>
  <w:style w:type="paragraph" w:styleId="Preformat">
    <w:name w:val="Pre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0"/>
      <w:szCs w:val="20"/>
      <w:lang w:val="ru-RU" w:eastAsia="ar-SA" w:bidi="ar-SA"/>
    </w:rPr>
  </w:style>
  <w:style w:type="paragraph" w:styleId="12">
    <w:name w:val="Указатель1"/>
    <w:basedOn w:val="Normal"/>
    <w:qFormat/>
    <w:pPr/>
    <w:rPr>
      <w:lang w:bidi="en-US"/>
    </w:rPr>
  </w:style>
  <w:style w:type="paragraph" w:styleId="TOCHeading">
    <w:name w:val="TOC Head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2"/>
      <w:lang w:val="ru-RU" w:eastAsia="en-US" w:bidi="ar-SA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Liberation Serif"/>
      <w:i/>
      <w:color w:val="auto"/>
      <w:kern w:val="0"/>
      <w:sz w:val="20"/>
      <w:szCs w:val="22"/>
      <w:lang w:val="ru-RU" w:eastAsia="en-US" w:bidi="ar-SA"/>
    </w:rPr>
  </w:style>
  <w:style w:type="paragraph" w:styleId="Quote">
    <w:name w:val="Quote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Liberation Serif"/>
      <w:i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FB2F7C680995865053D3A72B564E559873FFD9E2BB54CD2E9DAD4EB6DC61EA894C845B21BBE3AC22918B8B51834539CE17BFE99D75631FFECk7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LibreOffice/6.4.7.2$Linux_X86_64 LibreOffice_project/40$Build-2</Application>
  <Pages>4</Pages>
  <Words>951</Words>
  <Characters>7361</Characters>
  <CharactersWithSpaces>8209</CharactersWithSpaces>
  <Paragraphs>110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Марина Константиновна</dc:creator>
  <dc:description/>
  <dc:language>ru-RU</dc:language>
  <cp:lastModifiedBy/>
  <cp:lastPrinted>2022-10-18T13:24:41Z</cp:lastPrinted>
  <dcterms:modified xsi:type="dcterms:W3CDTF">2022-10-18T14:21:53Z</dcterms:modified>
  <cp:revision>13</cp:revision>
  <dc:subject/>
  <dc:title>Указ Губернатора Ульяновской области от 13.01.2021 N 2"Об утверждении Программы развития правовой грамотности и правосознания граждан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